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9F12" w14:textId="3B611C13" w:rsidR="00E92057" w:rsidRDefault="00E97E29" w:rsidP="00195E2C">
      <w:r>
        <w:rPr>
          <w:noProof/>
        </w:rPr>
        <w:drawing>
          <wp:anchor distT="0" distB="0" distL="114300" distR="114300" simplePos="0" relativeHeight="251658240" behindDoc="0" locked="0" layoutInCell="1" allowOverlap="1" wp14:anchorId="177ED920" wp14:editId="1342AF9F">
            <wp:simplePos x="0" y="0"/>
            <wp:positionH relativeFrom="column">
              <wp:posOffset>0</wp:posOffset>
            </wp:positionH>
            <wp:positionV relativeFrom="paragraph">
              <wp:posOffset>0</wp:posOffset>
            </wp:positionV>
            <wp:extent cx="1792224" cy="1033272"/>
            <wp:effectExtent l="0" t="0" r="0" b="0"/>
            <wp:wrapSquare wrapText="right"/>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033272"/>
                    </a:xfrm>
                    <a:prstGeom prst="rect">
                      <a:avLst/>
                    </a:prstGeom>
                  </pic:spPr>
                </pic:pic>
              </a:graphicData>
            </a:graphic>
            <wp14:sizeRelH relativeFrom="margin">
              <wp14:pctWidth>0</wp14:pctWidth>
            </wp14:sizeRelH>
            <wp14:sizeRelV relativeFrom="margin">
              <wp14:pctHeight>0</wp14:pctHeight>
            </wp14:sizeRelV>
          </wp:anchor>
        </w:drawing>
      </w:r>
    </w:p>
    <w:p w14:paraId="4E668E2B" w14:textId="77777777" w:rsidR="00195E2C" w:rsidRDefault="00195E2C" w:rsidP="0069446B">
      <w:pPr>
        <w:jc w:val="center"/>
        <w:rPr>
          <w:rFonts w:ascii="Cambria" w:hAnsi="Cambria" w:cs="Arabic Typesetting"/>
          <w:b/>
          <w:bCs/>
          <w:sz w:val="36"/>
          <w:szCs w:val="36"/>
        </w:rPr>
      </w:pPr>
    </w:p>
    <w:p w14:paraId="1CB723E6" w14:textId="237F2E15" w:rsidR="0069446B" w:rsidRPr="0069446B" w:rsidRDefault="00195E2C" w:rsidP="00195E2C">
      <w:pPr>
        <w:rPr>
          <w:rFonts w:ascii="Cambria" w:hAnsi="Cambria" w:cs="Arabic Typesetting"/>
          <w:b/>
          <w:bCs/>
          <w:sz w:val="36"/>
          <w:szCs w:val="36"/>
        </w:rPr>
      </w:pPr>
      <w:r>
        <w:rPr>
          <w:rFonts w:ascii="Cambria" w:hAnsi="Cambria" w:cs="Arabic Typesetting"/>
          <w:b/>
          <w:bCs/>
          <w:sz w:val="36"/>
          <w:szCs w:val="36"/>
        </w:rPr>
        <w:t xml:space="preserve">      </w:t>
      </w:r>
      <w:r w:rsidR="0069446B" w:rsidRPr="0069446B">
        <w:rPr>
          <w:rFonts w:ascii="Cambria" w:hAnsi="Cambria" w:cs="Arabic Typesetting"/>
          <w:b/>
          <w:bCs/>
          <w:sz w:val="36"/>
          <w:szCs w:val="36"/>
        </w:rPr>
        <w:t>Turning 65 Checklist</w:t>
      </w:r>
    </w:p>
    <w:p w14:paraId="06BDFA17" w14:textId="75029801" w:rsidR="0069446B" w:rsidRPr="00195E2C" w:rsidRDefault="0069446B" w:rsidP="00195E2C">
      <w:pPr>
        <w:pStyle w:val="NoSpacing"/>
        <w:jc w:val="center"/>
        <w:rPr>
          <w:sz w:val="28"/>
          <w:szCs w:val="28"/>
        </w:rPr>
      </w:pPr>
      <w:r w:rsidRPr="00195E2C">
        <w:rPr>
          <w:sz w:val="28"/>
          <w:szCs w:val="28"/>
        </w:rPr>
        <w:t>What to do to get prepared for Medicare</w:t>
      </w:r>
    </w:p>
    <w:p w14:paraId="7F8E5545" w14:textId="7DFABA97" w:rsidR="0069446B" w:rsidRDefault="0069446B" w:rsidP="00195E2C">
      <w:pPr>
        <w:pStyle w:val="NoSpacing"/>
        <w:jc w:val="center"/>
      </w:pPr>
      <w:r w:rsidRPr="0069446B">
        <w:t xml:space="preserve">As you </w:t>
      </w:r>
      <w:r w:rsidRPr="0082764F">
        <w:t>prepare</w:t>
      </w:r>
      <w:r w:rsidRPr="0069446B">
        <w:t xml:space="preserve"> for to turn 65, we know you are bombarded with calls and mail. The process can seem complex</w:t>
      </w:r>
      <w:r w:rsidR="0082764F">
        <w:t>.</w:t>
      </w:r>
    </w:p>
    <w:p w14:paraId="322129BF" w14:textId="16D53010" w:rsidR="0082764F" w:rsidRDefault="0082764F" w:rsidP="00195E2C">
      <w:pPr>
        <w:pStyle w:val="NoSpacing"/>
        <w:jc w:val="center"/>
      </w:pPr>
      <w:proofErr w:type="gramStart"/>
      <w:r>
        <w:t>We’re</w:t>
      </w:r>
      <w:proofErr w:type="gramEnd"/>
      <w:r>
        <w:t xml:space="preserve"> here to help guide you through the Medicare maze without the stress!</w:t>
      </w:r>
    </w:p>
    <w:p w14:paraId="0BA19D5F" w14:textId="4E91B4CA" w:rsidR="0082764F" w:rsidRDefault="0082764F" w:rsidP="00195E2C">
      <w:pPr>
        <w:pStyle w:val="NoSpacing"/>
        <w:jc w:val="center"/>
      </w:pPr>
      <w:r>
        <w:t>Please refer to this checklist as you move through the process.</w:t>
      </w:r>
    </w:p>
    <w:p w14:paraId="46D1840C" w14:textId="6EC391F4" w:rsidR="0082764F" w:rsidRDefault="0082764F" w:rsidP="0069446B">
      <w:pPr>
        <w:jc w:val="center"/>
        <w:rPr>
          <w:rFonts w:ascii="Cambria" w:hAnsi="Cambria" w:cs="Arabic Typesetting"/>
        </w:rPr>
      </w:pPr>
    </w:p>
    <w:p w14:paraId="5FC3366C" w14:textId="65A7AB47" w:rsidR="0082764F" w:rsidRPr="00E753DE" w:rsidRDefault="0082764F" w:rsidP="0069446B">
      <w:pPr>
        <w:jc w:val="center"/>
        <w:rPr>
          <w:rFonts w:ascii="Cambria" w:hAnsi="Cambria" w:cs="Arabic Typesetting"/>
          <w:b/>
          <w:bCs/>
          <w:i/>
          <w:iCs/>
          <w:sz w:val="24"/>
          <w:szCs w:val="24"/>
          <w:u w:val="single"/>
        </w:rPr>
      </w:pPr>
      <w:r w:rsidRPr="00E753DE">
        <w:rPr>
          <w:rFonts w:ascii="Cambria" w:hAnsi="Cambria" w:cs="Arabic Typesetting"/>
          <w:b/>
          <w:bCs/>
          <w:i/>
          <w:iCs/>
          <w:sz w:val="24"/>
          <w:szCs w:val="24"/>
          <w:u w:val="single"/>
        </w:rPr>
        <w:t>6 Months Before Turning 65</w:t>
      </w:r>
    </w:p>
    <w:p w14:paraId="6C62B44F" w14:textId="1EAC25F0" w:rsidR="0082764F" w:rsidRPr="00E753DE" w:rsidRDefault="0082764F" w:rsidP="0082764F">
      <w:pPr>
        <w:pStyle w:val="ListParagraph"/>
        <w:numPr>
          <w:ilvl w:val="0"/>
          <w:numId w:val="1"/>
        </w:numPr>
        <w:rPr>
          <w:rFonts w:ascii="Cambria" w:hAnsi="Cambria" w:cs="Arabic Typesetting"/>
          <w:sz w:val="20"/>
          <w:szCs w:val="20"/>
        </w:rPr>
      </w:pPr>
      <w:r w:rsidRPr="00E753DE">
        <w:rPr>
          <w:rFonts w:ascii="Cambria" w:hAnsi="Cambria" w:cs="Arabic Typesetting"/>
          <w:sz w:val="20"/>
          <w:szCs w:val="20"/>
        </w:rPr>
        <w:t>Call Patient’s Choice Benefits for a consultation. We provide a free, no obligation “Medicare 101” explanation to explain how Medicare works.</w:t>
      </w:r>
    </w:p>
    <w:p w14:paraId="4D382687" w14:textId="2F521442" w:rsidR="0082764F" w:rsidRPr="00E753DE" w:rsidRDefault="0082764F" w:rsidP="0082764F">
      <w:pPr>
        <w:pStyle w:val="ListParagraph"/>
        <w:numPr>
          <w:ilvl w:val="0"/>
          <w:numId w:val="1"/>
        </w:numPr>
        <w:rPr>
          <w:rFonts w:ascii="Cambria" w:hAnsi="Cambria" w:cs="Arabic Typesetting"/>
          <w:sz w:val="20"/>
          <w:szCs w:val="20"/>
        </w:rPr>
      </w:pPr>
      <w:r w:rsidRPr="00E753DE">
        <w:rPr>
          <w:rFonts w:ascii="Cambria" w:hAnsi="Cambria" w:cs="Arabic Typesetting"/>
          <w:sz w:val="20"/>
          <w:szCs w:val="20"/>
        </w:rPr>
        <w:t>Understand your enrollment options.</w:t>
      </w:r>
    </w:p>
    <w:p w14:paraId="7ADFEFC1" w14:textId="3854551C" w:rsidR="0082764F" w:rsidRPr="00E753DE" w:rsidRDefault="0082764F" w:rsidP="0082764F">
      <w:pPr>
        <w:pStyle w:val="ListParagraph"/>
        <w:numPr>
          <w:ilvl w:val="0"/>
          <w:numId w:val="1"/>
        </w:numPr>
        <w:rPr>
          <w:rFonts w:ascii="Cambria" w:hAnsi="Cambria" w:cs="Arabic Typesetting"/>
          <w:sz w:val="20"/>
          <w:szCs w:val="20"/>
        </w:rPr>
      </w:pPr>
      <w:r w:rsidRPr="00E753DE">
        <w:rPr>
          <w:rFonts w:ascii="Cambria" w:hAnsi="Cambria" w:cs="Arabic Typesetting"/>
          <w:sz w:val="20"/>
          <w:szCs w:val="20"/>
        </w:rPr>
        <w:t xml:space="preserve">If you are still working, or your spouse is, determine the costs of your current insurance coverage to compare </w:t>
      </w:r>
      <w:r w:rsidR="00347C7F" w:rsidRPr="00E753DE">
        <w:rPr>
          <w:rFonts w:ascii="Cambria" w:hAnsi="Cambria" w:cs="Arabic Typesetting"/>
          <w:sz w:val="20"/>
          <w:szCs w:val="20"/>
        </w:rPr>
        <w:t>plans.</w:t>
      </w:r>
    </w:p>
    <w:p w14:paraId="1651E96B" w14:textId="445CD9AC" w:rsidR="00347C7F" w:rsidRPr="00E753DE" w:rsidRDefault="00347C7F" w:rsidP="0082764F">
      <w:pPr>
        <w:pStyle w:val="ListParagraph"/>
        <w:numPr>
          <w:ilvl w:val="0"/>
          <w:numId w:val="1"/>
        </w:numPr>
        <w:rPr>
          <w:rFonts w:ascii="Cambria" w:hAnsi="Cambria" w:cs="Arabic Typesetting"/>
          <w:sz w:val="20"/>
          <w:szCs w:val="20"/>
        </w:rPr>
      </w:pPr>
      <w:r w:rsidRPr="00E753DE">
        <w:rPr>
          <w:rFonts w:ascii="Cambria" w:hAnsi="Cambria" w:cs="Arabic Typesetting"/>
          <w:sz w:val="20"/>
          <w:szCs w:val="20"/>
        </w:rPr>
        <w:t xml:space="preserve">Learn how </w:t>
      </w:r>
      <w:proofErr w:type="gramStart"/>
      <w:r w:rsidRPr="00E753DE">
        <w:rPr>
          <w:rFonts w:ascii="Cambria" w:hAnsi="Cambria" w:cs="Arabic Typesetting"/>
          <w:sz w:val="20"/>
          <w:szCs w:val="20"/>
        </w:rPr>
        <w:t>you</w:t>
      </w:r>
      <w:proofErr w:type="gramEnd"/>
      <w:r w:rsidRPr="00E753DE">
        <w:rPr>
          <w:rFonts w:ascii="Cambria" w:hAnsi="Cambria" w:cs="Arabic Typesetting"/>
          <w:sz w:val="20"/>
          <w:szCs w:val="20"/>
        </w:rPr>
        <w:t xml:space="preserve"> current coverage, or your spouse’s coverage, works with Medicare.</w:t>
      </w:r>
    </w:p>
    <w:p w14:paraId="39178090" w14:textId="3E133B4C" w:rsidR="00347C7F" w:rsidRPr="00E753DE" w:rsidRDefault="00347C7F" w:rsidP="00347C7F">
      <w:pPr>
        <w:jc w:val="center"/>
        <w:rPr>
          <w:rFonts w:ascii="Cambria" w:hAnsi="Cambria" w:cs="Arabic Typesetting"/>
          <w:sz w:val="24"/>
          <w:szCs w:val="24"/>
        </w:rPr>
      </w:pPr>
    </w:p>
    <w:p w14:paraId="02D6B585" w14:textId="156EF718" w:rsidR="00347C7F" w:rsidRPr="00E753DE" w:rsidRDefault="00347C7F" w:rsidP="00347C7F">
      <w:pPr>
        <w:jc w:val="center"/>
        <w:rPr>
          <w:rFonts w:ascii="Cambria" w:hAnsi="Cambria" w:cs="Arabic Typesetting"/>
          <w:b/>
          <w:bCs/>
          <w:i/>
          <w:iCs/>
          <w:sz w:val="24"/>
          <w:szCs w:val="24"/>
          <w:u w:val="single"/>
        </w:rPr>
      </w:pPr>
      <w:r w:rsidRPr="00E753DE">
        <w:rPr>
          <w:rFonts w:ascii="Cambria" w:hAnsi="Cambria" w:cs="Arabic Typesetting"/>
          <w:b/>
          <w:bCs/>
          <w:i/>
          <w:iCs/>
          <w:sz w:val="24"/>
          <w:szCs w:val="24"/>
          <w:u w:val="single"/>
        </w:rPr>
        <w:t>4 Months Before Turning 65</w:t>
      </w:r>
    </w:p>
    <w:p w14:paraId="5D0A059F" w14:textId="40D05DFD" w:rsidR="00847C68" w:rsidRPr="00E753DE" w:rsidRDefault="00847C68" w:rsidP="00847C68">
      <w:pPr>
        <w:pStyle w:val="ListParagraph"/>
        <w:numPr>
          <w:ilvl w:val="0"/>
          <w:numId w:val="2"/>
        </w:numPr>
        <w:rPr>
          <w:rFonts w:ascii="Cambria" w:hAnsi="Cambria" w:cs="Arabic Typesetting"/>
          <w:sz w:val="20"/>
          <w:szCs w:val="20"/>
        </w:rPr>
      </w:pPr>
      <w:r w:rsidRPr="00E753DE">
        <w:rPr>
          <w:rFonts w:ascii="Cambria" w:hAnsi="Cambria" w:cs="Arabic Typesetting"/>
          <w:sz w:val="20"/>
          <w:szCs w:val="20"/>
        </w:rPr>
        <w:t xml:space="preserve">Meet with you Patient’s Choice Benefits advisor to compare plans and calculate costs. We represent most, if not all, plans in your area and can provide an unbiased overview. We work for </w:t>
      </w:r>
      <w:proofErr w:type="gramStart"/>
      <w:r w:rsidRPr="00E753DE">
        <w:rPr>
          <w:rFonts w:ascii="Cambria" w:hAnsi="Cambria" w:cs="Arabic Typesetting"/>
          <w:sz w:val="20"/>
          <w:szCs w:val="20"/>
        </w:rPr>
        <w:t>YOU;</w:t>
      </w:r>
      <w:proofErr w:type="gramEnd"/>
      <w:r w:rsidRPr="00E753DE">
        <w:rPr>
          <w:rFonts w:ascii="Cambria" w:hAnsi="Cambria" w:cs="Arabic Typesetting"/>
          <w:sz w:val="20"/>
          <w:szCs w:val="20"/>
        </w:rPr>
        <w:t xml:space="preserve"> not any specific insurance company.</w:t>
      </w:r>
    </w:p>
    <w:p w14:paraId="14B28C9A" w14:textId="70B03AF1" w:rsidR="00847C68" w:rsidRPr="00E753DE" w:rsidRDefault="00847C68" w:rsidP="00847C68">
      <w:pPr>
        <w:pStyle w:val="ListParagraph"/>
        <w:numPr>
          <w:ilvl w:val="0"/>
          <w:numId w:val="3"/>
        </w:numPr>
        <w:rPr>
          <w:rFonts w:ascii="Cambria" w:hAnsi="Cambria" w:cs="Arabic Typesetting"/>
          <w:sz w:val="20"/>
          <w:szCs w:val="20"/>
        </w:rPr>
      </w:pPr>
      <w:r w:rsidRPr="00E753DE">
        <w:rPr>
          <w:rFonts w:ascii="Cambria" w:hAnsi="Cambria" w:cs="Arabic Typesetting"/>
          <w:sz w:val="20"/>
          <w:szCs w:val="20"/>
        </w:rPr>
        <w:t>Premiums</w:t>
      </w:r>
    </w:p>
    <w:p w14:paraId="33D21754" w14:textId="6D9782B5" w:rsidR="00847C68" w:rsidRPr="00E753DE" w:rsidRDefault="00847C68" w:rsidP="00847C68">
      <w:pPr>
        <w:pStyle w:val="ListParagraph"/>
        <w:numPr>
          <w:ilvl w:val="0"/>
          <w:numId w:val="3"/>
        </w:numPr>
        <w:rPr>
          <w:rFonts w:ascii="Cambria" w:hAnsi="Cambria" w:cs="Arabic Typesetting"/>
          <w:sz w:val="20"/>
          <w:szCs w:val="20"/>
        </w:rPr>
      </w:pPr>
      <w:r w:rsidRPr="00E753DE">
        <w:rPr>
          <w:rFonts w:ascii="Cambria" w:hAnsi="Cambria" w:cs="Arabic Typesetting"/>
          <w:sz w:val="20"/>
          <w:szCs w:val="20"/>
        </w:rPr>
        <w:t>Deductibles</w:t>
      </w:r>
    </w:p>
    <w:p w14:paraId="687E4AAB" w14:textId="56463A6C" w:rsidR="00847C68" w:rsidRPr="00E753DE" w:rsidRDefault="00847C68" w:rsidP="00847C68">
      <w:pPr>
        <w:pStyle w:val="ListParagraph"/>
        <w:numPr>
          <w:ilvl w:val="0"/>
          <w:numId w:val="3"/>
        </w:numPr>
        <w:rPr>
          <w:rFonts w:ascii="Cambria" w:hAnsi="Cambria" w:cs="Arabic Typesetting"/>
          <w:sz w:val="20"/>
          <w:szCs w:val="20"/>
        </w:rPr>
      </w:pPr>
      <w:r w:rsidRPr="00E753DE">
        <w:rPr>
          <w:rFonts w:ascii="Cambria" w:hAnsi="Cambria" w:cs="Arabic Typesetting"/>
          <w:sz w:val="20"/>
          <w:szCs w:val="20"/>
        </w:rPr>
        <w:t>Co-pays &amp; Coinsurance</w:t>
      </w:r>
    </w:p>
    <w:p w14:paraId="5F3C141A" w14:textId="00FF3A9D" w:rsidR="00847C68" w:rsidRPr="00E753DE" w:rsidRDefault="00847C68" w:rsidP="00847C68">
      <w:pPr>
        <w:pStyle w:val="ListParagraph"/>
        <w:numPr>
          <w:ilvl w:val="0"/>
          <w:numId w:val="2"/>
        </w:numPr>
        <w:rPr>
          <w:rFonts w:ascii="Cambria" w:hAnsi="Cambria" w:cs="Arabic Typesetting"/>
          <w:sz w:val="20"/>
          <w:szCs w:val="20"/>
        </w:rPr>
      </w:pPr>
      <w:r w:rsidRPr="00E753DE">
        <w:rPr>
          <w:rFonts w:ascii="Cambria" w:hAnsi="Cambria" w:cs="Arabic Typesetting"/>
          <w:sz w:val="20"/>
          <w:szCs w:val="20"/>
        </w:rPr>
        <w:t>Ask Questions!</w:t>
      </w:r>
    </w:p>
    <w:p w14:paraId="5A7846BD" w14:textId="66C31A1F" w:rsidR="00847C68" w:rsidRPr="00E753DE" w:rsidRDefault="00847C68" w:rsidP="00847C68">
      <w:pPr>
        <w:pStyle w:val="ListParagraph"/>
        <w:numPr>
          <w:ilvl w:val="0"/>
          <w:numId w:val="4"/>
        </w:numPr>
        <w:rPr>
          <w:rFonts w:ascii="Cambria" w:hAnsi="Cambria" w:cs="Arabic Typesetting"/>
          <w:sz w:val="20"/>
          <w:szCs w:val="20"/>
        </w:rPr>
      </w:pPr>
      <w:r w:rsidRPr="00E753DE">
        <w:rPr>
          <w:rFonts w:ascii="Cambria" w:hAnsi="Cambria" w:cs="Arabic Typesetting"/>
          <w:sz w:val="20"/>
          <w:szCs w:val="20"/>
        </w:rPr>
        <w:t>Will I have to stay in a network?</w:t>
      </w:r>
    </w:p>
    <w:p w14:paraId="65CE03E8" w14:textId="76571BDA" w:rsidR="00847C68" w:rsidRPr="00E753DE" w:rsidRDefault="00847C68" w:rsidP="00847C68">
      <w:pPr>
        <w:pStyle w:val="ListParagraph"/>
        <w:numPr>
          <w:ilvl w:val="0"/>
          <w:numId w:val="4"/>
        </w:numPr>
        <w:rPr>
          <w:rFonts w:ascii="Cambria" w:hAnsi="Cambria" w:cs="Arabic Typesetting"/>
          <w:sz w:val="20"/>
          <w:szCs w:val="20"/>
        </w:rPr>
      </w:pPr>
      <w:r w:rsidRPr="00E753DE">
        <w:rPr>
          <w:rFonts w:ascii="Cambria" w:hAnsi="Cambria" w:cs="Arabic Typesetting"/>
          <w:sz w:val="20"/>
          <w:szCs w:val="20"/>
        </w:rPr>
        <w:t>Will my doctors accept my coverage?</w:t>
      </w:r>
    </w:p>
    <w:p w14:paraId="06D4711C" w14:textId="00E5C3F9" w:rsidR="00847C68" w:rsidRPr="00E753DE" w:rsidRDefault="00847C68" w:rsidP="00847C68">
      <w:pPr>
        <w:pStyle w:val="ListParagraph"/>
        <w:numPr>
          <w:ilvl w:val="0"/>
          <w:numId w:val="4"/>
        </w:numPr>
        <w:rPr>
          <w:rFonts w:ascii="Cambria" w:hAnsi="Cambria" w:cs="Arabic Typesetting"/>
          <w:sz w:val="20"/>
          <w:szCs w:val="20"/>
        </w:rPr>
      </w:pPr>
      <w:r w:rsidRPr="00E753DE">
        <w:rPr>
          <w:rFonts w:ascii="Cambria" w:hAnsi="Cambria" w:cs="Arabic Typesetting"/>
          <w:sz w:val="20"/>
          <w:szCs w:val="20"/>
        </w:rPr>
        <w:t xml:space="preserve">Will my plan cover me when </w:t>
      </w:r>
      <w:proofErr w:type="gramStart"/>
      <w:r w:rsidRPr="00E753DE">
        <w:rPr>
          <w:rFonts w:ascii="Cambria" w:hAnsi="Cambria" w:cs="Arabic Typesetting"/>
          <w:sz w:val="20"/>
          <w:szCs w:val="20"/>
        </w:rPr>
        <w:t>I’m</w:t>
      </w:r>
      <w:proofErr w:type="gramEnd"/>
      <w:r w:rsidRPr="00E753DE">
        <w:rPr>
          <w:rFonts w:ascii="Cambria" w:hAnsi="Cambria" w:cs="Arabic Typesetting"/>
          <w:sz w:val="20"/>
          <w:szCs w:val="20"/>
        </w:rPr>
        <w:t xml:space="preserve"> traveling?</w:t>
      </w:r>
    </w:p>
    <w:p w14:paraId="099BDC5C" w14:textId="797AEC0D" w:rsidR="00847C68" w:rsidRPr="00E753DE" w:rsidRDefault="00847C68" w:rsidP="00847C68">
      <w:pPr>
        <w:pStyle w:val="ListParagraph"/>
        <w:numPr>
          <w:ilvl w:val="0"/>
          <w:numId w:val="4"/>
        </w:numPr>
        <w:rPr>
          <w:rFonts w:ascii="Cambria" w:hAnsi="Cambria" w:cs="Arabic Typesetting"/>
          <w:sz w:val="20"/>
          <w:szCs w:val="20"/>
        </w:rPr>
      </w:pPr>
      <w:r w:rsidRPr="00E753DE">
        <w:rPr>
          <w:rFonts w:ascii="Cambria" w:hAnsi="Cambria" w:cs="Arabic Typesetting"/>
          <w:sz w:val="20"/>
          <w:szCs w:val="20"/>
        </w:rPr>
        <w:t>Will my prescriptions be covered? What will they cost?</w:t>
      </w:r>
    </w:p>
    <w:p w14:paraId="7BBE991E" w14:textId="0194348F" w:rsidR="00847C68" w:rsidRPr="00E753DE" w:rsidRDefault="00847C68" w:rsidP="00847C68">
      <w:pPr>
        <w:pStyle w:val="ListParagraph"/>
        <w:numPr>
          <w:ilvl w:val="0"/>
          <w:numId w:val="4"/>
        </w:numPr>
        <w:rPr>
          <w:rFonts w:ascii="Cambria" w:hAnsi="Cambria" w:cs="Arabic Typesetting"/>
          <w:sz w:val="20"/>
          <w:szCs w:val="20"/>
        </w:rPr>
      </w:pPr>
      <w:r w:rsidRPr="00E753DE">
        <w:rPr>
          <w:rFonts w:ascii="Cambria" w:hAnsi="Cambria" w:cs="Arabic Typesetting"/>
          <w:sz w:val="20"/>
          <w:szCs w:val="20"/>
        </w:rPr>
        <w:t>Are my medications on the drug list (formulary)?</w:t>
      </w:r>
    </w:p>
    <w:p w14:paraId="2DB115D6" w14:textId="29FDCCF6" w:rsidR="00E753DE" w:rsidRDefault="00E753DE" w:rsidP="00E753DE">
      <w:pPr>
        <w:rPr>
          <w:rFonts w:ascii="Cambria" w:hAnsi="Cambria" w:cs="Arabic Typesetting"/>
          <w:sz w:val="24"/>
          <w:szCs w:val="24"/>
        </w:rPr>
      </w:pPr>
    </w:p>
    <w:p w14:paraId="08ACBA55" w14:textId="6D317721" w:rsidR="00E753DE" w:rsidRDefault="00E753DE" w:rsidP="00E753DE">
      <w:pPr>
        <w:jc w:val="center"/>
        <w:rPr>
          <w:rFonts w:ascii="Cambria" w:hAnsi="Cambria" w:cs="Arabic Typesetting"/>
          <w:b/>
          <w:bCs/>
          <w:i/>
          <w:iCs/>
          <w:sz w:val="24"/>
          <w:szCs w:val="24"/>
          <w:u w:val="single"/>
        </w:rPr>
      </w:pPr>
      <w:r w:rsidRPr="00E753DE">
        <w:rPr>
          <w:rFonts w:ascii="Cambria" w:hAnsi="Cambria" w:cs="Arabic Typesetting"/>
          <w:b/>
          <w:bCs/>
          <w:i/>
          <w:iCs/>
          <w:sz w:val="24"/>
          <w:szCs w:val="24"/>
          <w:u w:val="single"/>
        </w:rPr>
        <w:t>3 Months Before Turning 65</w:t>
      </w:r>
    </w:p>
    <w:p w14:paraId="1DB425C6" w14:textId="2FEEEEBC" w:rsidR="00E753DE" w:rsidRDefault="00E753DE" w:rsidP="00E97E29">
      <w:pPr>
        <w:pStyle w:val="ListParagraph"/>
        <w:numPr>
          <w:ilvl w:val="0"/>
          <w:numId w:val="2"/>
        </w:numPr>
        <w:jc w:val="both"/>
        <w:rPr>
          <w:rFonts w:ascii="Cambria" w:hAnsi="Cambria" w:cs="Arabic Typesetting"/>
          <w:sz w:val="20"/>
          <w:szCs w:val="20"/>
        </w:rPr>
      </w:pPr>
      <w:r>
        <w:rPr>
          <w:rFonts w:ascii="Cambria" w:hAnsi="Cambria" w:cs="Arabic Typesetting"/>
          <w:sz w:val="20"/>
          <w:szCs w:val="20"/>
        </w:rPr>
        <w:t>Apply for Extra Help with Prescription Drug Cost if you qualify. Your Patient’s Choice advisor can assist in this process by letting you know the income requirements and helping you apply online.</w:t>
      </w:r>
    </w:p>
    <w:p w14:paraId="7C498187" w14:textId="08CCEC11" w:rsidR="00E97E29" w:rsidRDefault="00E97E29" w:rsidP="00E753DE">
      <w:pPr>
        <w:pStyle w:val="ListParagraph"/>
        <w:numPr>
          <w:ilvl w:val="0"/>
          <w:numId w:val="2"/>
        </w:numPr>
        <w:rPr>
          <w:rFonts w:ascii="Cambria" w:hAnsi="Cambria" w:cs="Arabic Typesetting"/>
          <w:sz w:val="20"/>
          <w:szCs w:val="20"/>
        </w:rPr>
      </w:pPr>
      <w:r>
        <w:rPr>
          <w:rFonts w:ascii="Cambria" w:hAnsi="Cambria" w:cs="Arabic Typesetting"/>
          <w:sz w:val="20"/>
          <w:szCs w:val="20"/>
        </w:rPr>
        <w:t>Confirm receipt of you</w:t>
      </w:r>
      <w:r w:rsidR="009131BA">
        <w:rPr>
          <w:rFonts w:ascii="Cambria" w:hAnsi="Cambria" w:cs="Arabic Typesetting"/>
          <w:sz w:val="20"/>
          <w:szCs w:val="20"/>
        </w:rPr>
        <w:t>r</w:t>
      </w:r>
      <w:r>
        <w:rPr>
          <w:rFonts w:ascii="Cambria" w:hAnsi="Cambria" w:cs="Arabic Typesetting"/>
          <w:sz w:val="20"/>
          <w:szCs w:val="20"/>
        </w:rPr>
        <w:t xml:space="preserve"> Medicare card. This will come automatically if you are already receiving Social Security benefits.</w:t>
      </w:r>
    </w:p>
    <w:p w14:paraId="04637FAA" w14:textId="55FCCC14" w:rsidR="00E97E29" w:rsidRDefault="00E97E29" w:rsidP="00E753DE">
      <w:pPr>
        <w:pStyle w:val="ListParagraph"/>
        <w:numPr>
          <w:ilvl w:val="0"/>
          <w:numId w:val="2"/>
        </w:numPr>
        <w:rPr>
          <w:rFonts w:ascii="Cambria" w:hAnsi="Cambria" w:cs="Arabic Typesetting"/>
          <w:sz w:val="20"/>
          <w:szCs w:val="20"/>
        </w:rPr>
      </w:pPr>
      <w:r>
        <w:rPr>
          <w:rFonts w:ascii="Cambria" w:hAnsi="Cambria" w:cs="Arabic Typesetting"/>
          <w:sz w:val="20"/>
          <w:szCs w:val="20"/>
        </w:rPr>
        <w:t xml:space="preserve">If you are not yet receiving Social Security benefits, you will need to apply for Medicare at the Social Security office or online. </w:t>
      </w:r>
    </w:p>
    <w:p w14:paraId="5E2DEDFC" w14:textId="5C1263AB" w:rsidR="00E97E29" w:rsidRDefault="00E97E29" w:rsidP="00E753DE">
      <w:pPr>
        <w:pStyle w:val="ListParagraph"/>
        <w:numPr>
          <w:ilvl w:val="0"/>
          <w:numId w:val="2"/>
        </w:numPr>
        <w:rPr>
          <w:rFonts w:ascii="Cambria" w:hAnsi="Cambria" w:cs="Arabic Typesetting"/>
          <w:sz w:val="20"/>
          <w:szCs w:val="20"/>
        </w:rPr>
      </w:pPr>
      <w:r>
        <w:rPr>
          <w:rFonts w:ascii="Cambria" w:hAnsi="Cambria" w:cs="Arabic Typesetting"/>
          <w:sz w:val="20"/>
          <w:szCs w:val="20"/>
        </w:rPr>
        <w:t>Enroll in the plans that you and your Patient’s Choice Benefits advisor have determined to be most appropriate for your individual needs.</w:t>
      </w:r>
    </w:p>
    <w:p w14:paraId="48868E08" w14:textId="43497C67" w:rsidR="00E97E29" w:rsidRDefault="00E97E29" w:rsidP="00E97E29">
      <w:pPr>
        <w:ind w:left="360"/>
        <w:jc w:val="center"/>
        <w:rPr>
          <w:rFonts w:ascii="Cambria" w:hAnsi="Cambria" w:cs="Arabic Typesetting"/>
          <w:sz w:val="20"/>
          <w:szCs w:val="20"/>
        </w:rPr>
      </w:pPr>
    </w:p>
    <w:p w14:paraId="7536491E" w14:textId="217EC299" w:rsidR="00E97E29" w:rsidRDefault="00E97E29" w:rsidP="00E97E29">
      <w:pPr>
        <w:ind w:left="360"/>
        <w:jc w:val="center"/>
        <w:rPr>
          <w:rFonts w:ascii="Cambria" w:hAnsi="Cambria" w:cs="Arabic Typesetting"/>
          <w:b/>
          <w:bCs/>
          <w:i/>
          <w:iCs/>
          <w:sz w:val="24"/>
          <w:szCs w:val="24"/>
          <w:u w:val="single"/>
        </w:rPr>
      </w:pPr>
      <w:r>
        <w:rPr>
          <w:rFonts w:ascii="Cambria" w:hAnsi="Cambria" w:cs="Arabic Typesetting"/>
          <w:b/>
          <w:bCs/>
          <w:i/>
          <w:iCs/>
          <w:sz w:val="24"/>
          <w:szCs w:val="24"/>
          <w:u w:val="single"/>
        </w:rPr>
        <w:t>1 Month Before Turning 65</w:t>
      </w:r>
    </w:p>
    <w:p w14:paraId="16FC3297" w14:textId="163F152C" w:rsidR="00E97E29" w:rsidRDefault="00E97E29" w:rsidP="00E97E29">
      <w:pPr>
        <w:pStyle w:val="ListParagraph"/>
        <w:numPr>
          <w:ilvl w:val="0"/>
          <w:numId w:val="6"/>
        </w:numPr>
        <w:rPr>
          <w:rFonts w:ascii="Cambria" w:hAnsi="Cambria" w:cs="Arabic Typesetting"/>
          <w:sz w:val="20"/>
          <w:szCs w:val="20"/>
        </w:rPr>
      </w:pPr>
      <w:r>
        <w:rPr>
          <w:rFonts w:ascii="Cambria" w:hAnsi="Cambria" w:cs="Arabic Typesetting"/>
          <w:sz w:val="20"/>
          <w:szCs w:val="20"/>
        </w:rPr>
        <w:t>Make sure you have received your healthcare cards.</w:t>
      </w:r>
    </w:p>
    <w:p w14:paraId="0D1C062A" w14:textId="75B8FD35" w:rsidR="00E97E29" w:rsidRDefault="00E97E29" w:rsidP="00E97E29">
      <w:pPr>
        <w:pStyle w:val="ListParagraph"/>
        <w:numPr>
          <w:ilvl w:val="0"/>
          <w:numId w:val="6"/>
        </w:numPr>
        <w:rPr>
          <w:rFonts w:ascii="Cambria" w:hAnsi="Cambria" w:cs="Arabic Typesetting"/>
          <w:sz w:val="20"/>
          <w:szCs w:val="20"/>
        </w:rPr>
      </w:pPr>
      <w:r>
        <w:rPr>
          <w:rFonts w:ascii="Cambria" w:hAnsi="Cambria" w:cs="Arabic Typesetting"/>
          <w:sz w:val="20"/>
          <w:szCs w:val="20"/>
        </w:rPr>
        <w:t>Apply for any additional subsidy for which you may qualify. We can help you with this process.</w:t>
      </w:r>
    </w:p>
    <w:p w14:paraId="54D6E1A6" w14:textId="00B76DC1" w:rsidR="00E97E29" w:rsidRDefault="00E97E29" w:rsidP="00E97E29">
      <w:pPr>
        <w:pStyle w:val="ListParagraph"/>
        <w:numPr>
          <w:ilvl w:val="0"/>
          <w:numId w:val="6"/>
        </w:numPr>
        <w:rPr>
          <w:rFonts w:ascii="Cambria" w:hAnsi="Cambria" w:cs="Arabic Typesetting"/>
          <w:sz w:val="20"/>
          <w:szCs w:val="20"/>
        </w:rPr>
      </w:pPr>
      <w:r>
        <w:rPr>
          <w:rFonts w:ascii="Cambria" w:hAnsi="Cambria" w:cs="Arabic Typesetting"/>
          <w:sz w:val="20"/>
          <w:szCs w:val="20"/>
        </w:rPr>
        <w:t>Prepare to celebrate your 65</w:t>
      </w:r>
      <w:r w:rsidRPr="00E97E29">
        <w:rPr>
          <w:rFonts w:ascii="Cambria" w:hAnsi="Cambria" w:cs="Arabic Typesetting"/>
          <w:sz w:val="20"/>
          <w:szCs w:val="20"/>
          <w:vertAlign w:val="superscript"/>
        </w:rPr>
        <w:t>th</w:t>
      </w:r>
      <w:r>
        <w:rPr>
          <w:rFonts w:ascii="Cambria" w:hAnsi="Cambria" w:cs="Arabic Typesetting"/>
          <w:sz w:val="20"/>
          <w:szCs w:val="20"/>
        </w:rPr>
        <w:t xml:space="preserve"> Birthday!!!</w:t>
      </w:r>
    </w:p>
    <w:p w14:paraId="17FA2EB4" w14:textId="6E69FC45" w:rsidR="005644F0" w:rsidRPr="00E07184" w:rsidRDefault="000F3FF4" w:rsidP="00E07184">
      <w:pPr>
        <w:jc w:val="center"/>
        <w:rPr>
          <w:rFonts w:ascii="Cambria" w:hAnsi="Cambria" w:cs="Arabic Typesetting"/>
          <w:b/>
          <w:bCs/>
          <w:sz w:val="20"/>
          <w:szCs w:val="20"/>
        </w:rPr>
      </w:pPr>
      <w:r w:rsidRPr="00E07184">
        <w:rPr>
          <w:rFonts w:ascii="Cambria" w:hAnsi="Cambria" w:cs="Arabic Typesetting"/>
          <w:b/>
          <w:bCs/>
          <w:sz w:val="20"/>
          <w:szCs w:val="20"/>
        </w:rPr>
        <w:t xml:space="preserve">Phone: 850-803-3900 </w:t>
      </w:r>
      <w:r w:rsidRPr="00E07184">
        <w:rPr>
          <w:rFonts w:ascii="Cambria" w:hAnsi="Cambria" w:cs="Arabic Typesetting"/>
          <w:b/>
          <w:bCs/>
          <w:sz w:val="20"/>
          <w:szCs w:val="20"/>
        </w:rPr>
        <w:tab/>
        <w:t>email: md@</w:t>
      </w:r>
      <w:r w:rsidR="00E07184" w:rsidRPr="00E07184">
        <w:rPr>
          <w:rFonts w:ascii="Cambria" w:hAnsi="Cambria" w:cs="Arabic Typesetting"/>
          <w:b/>
          <w:bCs/>
          <w:sz w:val="20"/>
          <w:szCs w:val="20"/>
        </w:rPr>
        <w:t>patientschoicebenefits.com</w:t>
      </w:r>
    </w:p>
    <w:sectPr w:rsidR="005644F0" w:rsidRPr="00E07184" w:rsidSect="0069446B">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B5EE" w14:textId="77777777" w:rsidR="008116F5" w:rsidRDefault="008116F5" w:rsidP="002341D6">
      <w:pPr>
        <w:spacing w:after="0" w:line="240" w:lineRule="auto"/>
      </w:pPr>
      <w:r>
        <w:separator/>
      </w:r>
    </w:p>
  </w:endnote>
  <w:endnote w:type="continuationSeparator" w:id="0">
    <w:p w14:paraId="39A92B69" w14:textId="77777777" w:rsidR="008116F5" w:rsidRDefault="008116F5" w:rsidP="0023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4A62" w14:textId="77777777" w:rsidR="008116F5" w:rsidRDefault="008116F5" w:rsidP="002341D6">
      <w:pPr>
        <w:spacing w:after="0" w:line="240" w:lineRule="auto"/>
      </w:pPr>
      <w:r>
        <w:separator/>
      </w:r>
    </w:p>
  </w:footnote>
  <w:footnote w:type="continuationSeparator" w:id="0">
    <w:p w14:paraId="0CF2F9E8" w14:textId="77777777" w:rsidR="008116F5" w:rsidRDefault="008116F5" w:rsidP="00234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2359"/>
    <w:multiLevelType w:val="hybridMultilevel"/>
    <w:tmpl w:val="6CE61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5634"/>
    <w:multiLevelType w:val="hybridMultilevel"/>
    <w:tmpl w:val="882ED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0D46"/>
    <w:multiLevelType w:val="hybridMultilevel"/>
    <w:tmpl w:val="C5445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0330D6F"/>
    <w:multiLevelType w:val="hybridMultilevel"/>
    <w:tmpl w:val="08BC51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B35F7E"/>
    <w:multiLevelType w:val="hybridMultilevel"/>
    <w:tmpl w:val="81C02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2147"/>
    <w:multiLevelType w:val="hybridMultilevel"/>
    <w:tmpl w:val="B8A644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D6"/>
    <w:rsid w:val="000F3FF4"/>
    <w:rsid w:val="00195E2C"/>
    <w:rsid w:val="002341D6"/>
    <w:rsid w:val="00347C7F"/>
    <w:rsid w:val="005644F0"/>
    <w:rsid w:val="0069446B"/>
    <w:rsid w:val="008116F5"/>
    <w:rsid w:val="0082764F"/>
    <w:rsid w:val="00841A9A"/>
    <w:rsid w:val="00847C68"/>
    <w:rsid w:val="008A7AFB"/>
    <w:rsid w:val="009131BA"/>
    <w:rsid w:val="00A031A7"/>
    <w:rsid w:val="00A80751"/>
    <w:rsid w:val="00C24C40"/>
    <w:rsid w:val="00E07184"/>
    <w:rsid w:val="00E753DE"/>
    <w:rsid w:val="00E9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CB79"/>
  <w15:chartTrackingRefBased/>
  <w15:docId w15:val="{87D7366B-2DDF-4B14-AD1D-51A3DBF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D6"/>
  </w:style>
  <w:style w:type="paragraph" w:styleId="Footer">
    <w:name w:val="footer"/>
    <w:basedOn w:val="Normal"/>
    <w:link w:val="FooterChar"/>
    <w:uiPriority w:val="99"/>
    <w:unhideWhenUsed/>
    <w:rsid w:val="0023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D6"/>
  </w:style>
  <w:style w:type="paragraph" w:styleId="ListParagraph">
    <w:name w:val="List Paragraph"/>
    <w:basedOn w:val="Normal"/>
    <w:uiPriority w:val="34"/>
    <w:qFormat/>
    <w:rsid w:val="0082764F"/>
    <w:pPr>
      <w:ind w:left="720"/>
      <w:contextualSpacing/>
    </w:pPr>
  </w:style>
  <w:style w:type="paragraph" w:styleId="NoSpacing">
    <w:name w:val="No Spacing"/>
    <w:uiPriority w:val="1"/>
    <w:qFormat/>
    <w:rsid w:val="0019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Davis</dc:creator>
  <cp:keywords/>
  <dc:description/>
  <cp:lastModifiedBy>Michele Davis</cp:lastModifiedBy>
  <cp:revision>6</cp:revision>
  <dcterms:created xsi:type="dcterms:W3CDTF">2020-09-11T13:36:00Z</dcterms:created>
  <dcterms:modified xsi:type="dcterms:W3CDTF">2020-11-14T16:00:00Z</dcterms:modified>
</cp:coreProperties>
</file>